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2003 28 vom 18. August 2003</w:t>
      </w:r>
    </w:p>
    <w:p>
      <w:r>
        <w:t>GR Gerichte, 2003-08-18, DE</w:t>
      </w:r>
    </w:p>
    <w:p>
      <w:r>
        <w:rPr>
          <w:b/>
        </w:rPr>
        <w:t xml:space="preserve">Quelle: </w:t>
      </w:r>
      <w:r>
        <w:t>https://mcp.opencaselaw.ch/entscheid/gr_gerichte_BK 2003 28</w:t>
      </w:r>
    </w:p>
    <w:p>
      <w:r>
        <w:t>FR: GR_GERICHTE BK 2003 28 du 18 août 2003</w:t>
      </w:r>
    </w:p>
    <w:p>
      <w:r>
        <w:t>IT: GR_GERICHTE BK 2003 28 del 18 agosto 2003</w:t>
      </w:r>
    </w:p>
    <w:p>
      <w:pPr>
        <w:pStyle w:val="Heading2"/>
      </w:pPr>
      <w:r>
        <w:t>Regeste</w:t>
      </w:r>
    </w:p>
    <w:p>
      <w:r>
        <w:t>Beweisergänzung | StA Ergänzung Untersuchung</w:t>
      </w:r>
    </w:p>
    <w:p>
      <w:pPr>
        <w:pStyle w:val="Heading2"/>
      </w:pPr>
      <w:r>
        <w:t>Erwägungen</w:t>
      </w:r>
    </w:p>
    <w:p>
      <w:r>
        <w:rPr>
          <w:b/>
        </w:rPr>
        <w:t>E. 1</w:t>
      </w:r>
    </w:p>
    <w:p>
      <w:r>
        <w:t>a) Gemäss Art. 138 des Gesetzes über die Strafrechtspflege (StPO; BR 350.000) kann gegen Verfügungen und Beschwerdeentscheide des Staatsanwaltes wegen Rechtswidrigkeit oder Unangemessenheit bei der Be- schwerdekammer des Kantonsgericht Beschwerde geführt werden. Zur Be- schwerde ist berechtigt, wer durch den angefochtenen Entscheid berührt ist und ein schutzwürdiges Interesse an seiner Aufhebung oder Änderung geltend macht (Art. 139 Abs. 1 StPO). Die Beschwerde ist innert zwanzig Tagen, seit der Betroffene vom angefochtenen Entscheid Kenntnis erhalten hat, schriftlich einzureichen (Art. 139 Abs. 2 StPO). b) Der Beschwerdeführer hat den Beschwerdeentscheid des Staats- anwaltes vom 23. Juni 2003 angefochten. Als Angeschuldigter im Untersu- chungsverfahren sowie als direkt Betroffener infolge der Abweisung seiner Be- weisergänzungsanträge im vorinstanzlichen Beschwerdeverfahren ist er durch den angefochtenen Entscheid berührt und hat ein schutzwürdiges Interesse an dessen Aufhebung oder Änderung. Somit ist auf die frist- und formgerecht ein- gereichte Beschwerde einzutreten.</w:t>
      </w:r>
    </w:p>
    <w:p>
      <w:r>
        <w:rPr>
          <w:b/>
        </w:rPr>
        <w:t>E. 2</w:t>
      </w:r>
    </w:p>
    <w:p>
      <w:r>
        <w:t>Gemäss Art. 75 Abs. 1 StPO hat die Strafuntersuchung den Zweck, den Tatbestand in objektiver und subjektiver Hinsicht abzuklären, den Täter zu ermitteln sowie dessen Persönlichkeit und Verhältnisse zu erforschen. Dabei sind alle wesentlichen Beweise zu erheben und sowohl die für die Schuld als für die Unschuld des Angeschuldigten in Betracht fallenden Feststellungen zu machen. Die Untersuchung ist aber nur soweit zu führen, dass entweder Anklage erhoben oder die Untersuchung eingestellt werden kann, und Beweismittel sollen nur bis</w:t>
      </w:r>
    </w:p>
    <w:p>
      <w:r>
        <w:rPr>
          <w:b/>
        </w:rPr>
        <w:t>E. 5</w:t>
      </w:r>
    </w:p>
    <w:p>
      <w:r>
        <w:t>dahin gesammelt werden, als es zur Durchführung der Hauptverhandlung notwendig erscheint (Art. 75 Abs. 2 und 3 StPO). Beweise, die frist- und formgerecht angeboten werden, sind abzunehmen, soweit sie sich auf für die Entscheidung erhebliche, feststellungsbedürftige Tatsachen beziehen und sie nicht von vorne herein als ungeeignet erscheinen, die Kenntnis der betreffenden Tatsachen zu vermitteln. Das gilt vor allem für den Anspruch des Angeschuldigten, den Entlastungsbeweis zu führen und dabei die aus seiner Sicht relevanten Beweismittel nennen zu können, was indessen nicht bedeutet, dass sämtliche angebotenen Beweismittel erhoben werden müssten. Der An- spruch beschränkt sich vielmehr auf solche Beweise, die für den Nachweis der Unschuld wesentlich und brauchbar erscheinen. Dazu müssen mindestens glaubhafte, konkrete Anhaltspunkte für Tatsachen und Umstände vorliegen, die geeignet sind, zur Entlastung des Angeschuldigten beizutragen (Padrutt, Kom- mentar zur Strafprozessordnung des Kantons Graubünden, Chur 1996, S. 110 f., mit zahlreichen Hinweisen, unter anderem auf BGE 96 I 620 und BGE 101a 170). In diesem Sinne kann der Untersuchungsrichter einen Beweisantrag des Angeschuldigten gemäss Art. 97 Abs. 2 StPO ablehnen, wenn die Ergänzungs- untersuchung nicht sachdienlich, wenn das Beweismittel untauglich, unerheblich oder für die Beurteilung der Schuld- bzw. Straffrage nicht geeignet ist oder wenn der Aufwand unverhältnismässig ist (Padrutt, a.a.O., S. 255 f., mit zahlreichen Hinweisen). 3. Der Beschwerdeführer stellte während der Untersuchung den Be- weisergänzungsantrag, dass der vom als Zeuge befragten Polizeibeamten gel- tend gemachte Sachverhalt, wonach dieser das Fahrzeug des Beschwerdefüh- rers am Unfallort etwas zurückgestossen habe, nachzustellen und zu protokol- lieren sei. Hinsichtlich der Tatbestände, welche aufgrund des Verhaltens des Angeschuldigten Gegenstand der Untersuchung bilden, ist es jedoch nicht we- sentlich, ob es möglich ist, dass der betreffende Polizeibeamte den Wagen zu- rückzustossen vermochte oder nicht und ob damit dieser Teilsachverhalt der Wahrheit entspricht. Vielmehr ist die Frage, wie sich die Ereignisse betreffend das Rückwärtsstossen des Wagens des Beschwerdeführers zugetragen haben, für den Nachweis von dessen Unschuld offensichtlich unwesentlich und un- brauchbar in Bezug auf den abzuklärenden Tatbestand des Fahrens im ange- trunkenen Zustand. Somit brauchte der Untersuchungsrichter keine Rekon- struktion im Rahmen des Beweisergänzungsantrages vorzunehmen. Ausserdem will der Beschwerdeführer mit diesem Beweisergänzungsantrag offenbar einzig die Glaubwürdigkeit des betreffenden, als Zeuge befragten Polizeibeamten in</w:t>
      </w:r>
    </w:p>
    <w:p>
      <w:r>
        <w:rPr>
          <w:b/>
        </w:rPr>
        <w:t>E. 6</w:t>
      </w:r>
    </w:p>
    <w:p>
      <w:r>
        <w:t>Zweifel ziehen. Massgebend ist jedoch nicht die Glaubwürdigkeit eines Zeugen, sondern die Glaubhaftigkeit seiner Aussagen bezogen auf einen konkreten Sachverhalt. Über die Frage, wem Glauben in Anbetracht der Zeugenaussagen geschenkt werden soll, entscheidet indessen nicht die Untersuchungsbehörde, sondern der zuständige Sachrichter im Rahmen der Beweiswürdigung. Im Lichte dieser Ausführungen ist die Abweisung des Beweisergänzungsantrages betreffend das Rückwärtsstossen des Fahrzeugs des Beschwerdeführers durch das Untersuchungsrichteramt und die diesbezügliche Abweisung der Beschwerde durch die Staatsanwaltschaft zu Recht erfolgt. Folglich ist die vorliegende Beschwerde in diesem Punkt abzuweisen. 4. Im zweiten Beweisergänzungsantrag verlangt der Beschwerdefüh- rer die Nachstellung des vom betreffenden Polizisten geschilderten Sachver- haltes, wonach es diesem im Moment, als der Beschwerdeführer auf dem Fah- rersitz seines Fahrzeuges sass, den Motor startete und gleichzeitig dabei war, die Türe zu schliessen und rückwärts zu fahren, gelungen sei, die Türe abzufan- gen und wieder zu öffnen. Unter Verwendung einer Skizze mit den Angaben über die Strassen- und Fahrzeugbreite will der Beschwerdeführer aufzeigen, dass bei halbgeöffneter Fahrertüre keine Person mehr am vom Fahrer aus gesehen linken Strassenrand seitlich von vorne her Richtung Insassenkabine am Wagen vorbeigekommen wäre, um von der Einstiegsöffnung aus die Türe abzufangen. Diese Skizze ist indes nicht geeignet, die Aussage des Polizeibeamten als Zeuge derart in Zweifel zu ziehen, dass aufgrund einer mangels Nachstellung dieses Teilsachverhaltes ungenügend weit geführten Untersuchung die Erhebung einer Anklage nicht gerechtfertigt wäre (Art. 75 Abs. 2 StPO). Dazu müsste einmal die genaue Lage des Fahrzeuges des Beschwerdeführers zum Zeitpunkt der damaligen Ereignisse auf der Strasse, insbesondere der Abstand zum linken Strassenrand, bekannt sein, was vorliegend aber nicht der Fall ist. Zudem grenzt die Strasse an einen – wenn auch leicht abfallenden – Grasstreifen, der gegebenenfalls einen weiteren Bewegungsspielraum zulassen würde. Somit lässt sich zum einen eine genaue Rekonstruktion der damaligen Sachlage mangels der hierfür erforderlichen feststehenden Tatsachen nicht vornehmen. Zum andern ist aufgrund der Angaben des Beschwerdeführers nicht ersichtlich, weshalb es nicht möglich gewesen sein soll, dass sich die Ereignisse so zugetragen haben mögen, wie sie der betreffende Polizeibeamte schilderte. Allerdings braucht diese Frage hier nicht abschliessend beantwortet zu werden, da es auch diesbezüglich um die Glaubhaftigkeit einer Zeugenaussage und damit um die dem Sachrichter vorbehaltene Beweiswürdigung geht. Dem zuständigen</w:t>
      </w:r>
    </w:p>
    <w:p>
      <w:r>
        <w:rPr>
          <w:b/>
        </w:rPr>
        <w:t>E. 7</w:t>
      </w:r>
    </w:p>
    <w:p>
      <w:r>
        <w:t>Sachrichter bleibt es unbenommen, im Zweifelsfalle in diesem Punkt eine Nachstellung anzuordnen. Überdies lassen sich weitere Beweiserhebungen im Rahmen des Untersuchungsverfahrens auch nicht aus Art. 29 der Bundesverfassung der Schweizerischen Eidgenossenschaft (BV; SR 101) und Art. 6 Ziff. 3 lit. d der Konvention zum Schutze der Menschenrechte und Grundfreiheiten (EMRK; SR 0.101) ableiten, da damit dem Angeschuldigten lediglich der Anspruch garantiert wird, dem Belastungszeugen, mithin dem betreffenden Polizeibeamten, mindestens einmal Fragen zu stellen (BGE 129 I 153). Dem wurde durch das Durchführen eines Konfrontverhörs zwischen dem Beschwerdeführer im Beisein seines Verteidigers und dem Polizeibeamten vollumfänglich Genüge getan. Die Beschwerde ist somit auch in diesem Punkt abzuweisen. 5. Bei diesem Ausgang gehen die Kosten des Beschwerdeverfahrens zu Lasten des Beschwerdeführers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